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SCHEDULE 14A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Proxy Statement Pursuant to Section 14(a) of the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165100</wp:posOffset>
            </wp:positionV>
            <wp:extent cx="699516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4"/>
        <w:spacing w:after="0" w:line="184" w:lineRule="exact"/>
        <w:tabs>
          <w:tab w:leader="none" w:pos="28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                 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23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23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 240.14a-12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WYNN RESORTS, LIMITED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27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the appropriate box):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23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14a-6(a)(I) and 0-11.</w:t>
      </w:r>
    </w:p>
    <w:p>
      <w:pPr>
        <w:sectPr>
          <w:pgSz w:w="11900" w:h="16838" w:orient="portrait"/>
          <w:cols w:equalWidth="0" w:num="1">
            <w:col w:w="10023"/>
          </w:cols>
          <w:pgMar w:left="436" w:top="462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1402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14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F4970"/>
        </w:rPr>
        <w:t>WYNN RESORTS, LIMITED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F4970"/>
        </w:rPr>
        <w:t>ATTN: CORPORATE SECRETARY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F4970"/>
        </w:rPr>
        <w:t>3131 LAS VEGAS BLVD. SOUTH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F4970"/>
        </w:rPr>
        <w:t>LAS VEGAS, NV 89109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50707"/>
        </w:rPr>
        <w:t>V33261-P05197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113665</wp:posOffset>
            </wp:positionV>
            <wp:extent cx="1139825" cy="68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68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F4970"/>
        </w:rPr>
        <w:t>You invested in WYNN RESORTS, LIMITED and it’s time to vote!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100" w:right="10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F4970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8"/>
          <w:szCs w:val="18"/>
          <w:b w:val="1"/>
          <w:bCs w:val="1"/>
          <w:color w:val="0F4970"/>
        </w:rPr>
        <w:t>This is an important notice regarding the availability</w:t>
      </w:r>
      <w:r>
        <w:rPr>
          <w:rFonts w:ascii="Arial" w:cs="Arial" w:eastAsia="Arial" w:hAnsi="Arial"/>
          <w:sz w:val="18"/>
          <w:szCs w:val="18"/>
          <w:color w:val="0F4970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0F4970"/>
        </w:rPr>
        <w:t>of proxy material for the shareholder meeting to be held on May 2, 2024.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F4970"/>
        </w:rPr>
        <w:t>Get informed before you vote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100" w:right="26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F4970"/>
        </w:rPr>
        <w:t>View the Notice and Proxy Statement and Annual Report online OR you can receive a free paper or email copy of the material(s) by requesting prior to April 18, 2024. If you would like to request a copy of the material(s) for this and/or future shareholder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66040</wp:posOffset>
            </wp:positionH>
            <wp:positionV relativeFrom="paragraph">
              <wp:posOffset>143510</wp:posOffset>
            </wp:positionV>
            <wp:extent cx="7029450" cy="84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84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"/>
        </w:trPr>
        <w:tc>
          <w:tcPr>
            <w:tcW w:w="5500" w:type="dxa"/>
            <w:vAlign w:val="bottom"/>
            <w:vMerge w:val="restart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0F4970"/>
                <w:w w:val="97"/>
              </w:rPr>
              <w:t>Smartphone users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2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0F4970"/>
              </w:rPr>
              <w:t>Vote Virtually at the Meeting*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55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A9BC6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5500" w:type="dxa"/>
            <w:vAlign w:val="bottom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F4970"/>
                <w:w w:val="98"/>
              </w:rPr>
              <w:t>Point your camera here and</w:t>
            </w:r>
          </w:p>
        </w:tc>
        <w:tc>
          <w:tcPr>
            <w:tcW w:w="20" w:type="dxa"/>
            <w:vAlign w:val="bottom"/>
            <w:shd w:val="clear" w:color="auto" w:fill="0A9BC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F4970"/>
              </w:rPr>
              <w:t>May 2,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500" w:type="dxa"/>
            <w:vAlign w:val="bottom"/>
          </w:tcPr>
          <w:p>
            <w:pPr>
              <w:jc w:val="center"/>
              <w:ind w:left="672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F4970"/>
                <w:w w:val="97"/>
              </w:rPr>
              <w:t>vote without entering a</w:t>
            </w:r>
          </w:p>
        </w:tc>
        <w:tc>
          <w:tcPr>
            <w:tcW w:w="20" w:type="dxa"/>
            <w:vAlign w:val="bottom"/>
            <w:shd w:val="clear" w:color="auto" w:fill="0A9BC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F4970"/>
              </w:rPr>
              <w:t>9:00 AM PDT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5500" w:type="dxa"/>
            <w:vAlign w:val="bottom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F4970"/>
                <w:w w:val="98"/>
              </w:rPr>
              <w:t>control number</w:t>
            </w:r>
          </w:p>
        </w:tc>
        <w:tc>
          <w:tcPr>
            <w:tcW w:w="20" w:type="dxa"/>
            <w:vAlign w:val="bottom"/>
            <w:shd w:val="clear" w:color="auto" w:fill="0A9BC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00" w:type="dxa"/>
            <w:vAlign w:val="bottom"/>
            <w:gridSpan w:val="2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F4970"/>
              </w:rPr>
              <w:t>Virtually at: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5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A9BC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5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A9BC6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F4970"/>
              </w:rPr>
              <w:t>www.virtualshareholdermeeting.com/WYNN2024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9"/>
        </w:trPr>
        <w:tc>
          <w:tcPr>
            <w:tcW w:w="5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A9BC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F4970"/>
                <w:w w:val="72"/>
              </w:rPr>
              <w:t> </w:t>
            </w:r>
          </w:p>
        </w:tc>
        <w:tc>
          <w:tcPr>
            <w:tcW w:w="4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F4970"/>
              </w:rPr>
              <w:t xml:space="preserve"> 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5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A9BC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5500" w:type="dxa"/>
            <w:vAlign w:val="bottom"/>
            <w:tcBorders>
              <w:bottom w:val="single" w:sz="8" w:color="0A9BC6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A9BC6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A9BC6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0A9BC6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4129405</wp:posOffset>
            </wp:positionH>
            <wp:positionV relativeFrom="paragraph">
              <wp:posOffset>-1499870</wp:posOffset>
            </wp:positionV>
            <wp:extent cx="514350" cy="4629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931545</wp:posOffset>
            </wp:positionH>
            <wp:positionV relativeFrom="paragraph">
              <wp:posOffset>-796925</wp:posOffset>
            </wp:positionV>
            <wp:extent cx="1097280" cy="4114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41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F4970"/>
        </w:rPr>
        <w:t>*Please check the meeting materials for any special requirements for meeting attendance.</w:t>
      </w:r>
    </w:p>
    <w:p>
      <w:pPr>
        <w:sectPr>
          <w:pgSz w:w="11900" w:h="16838" w:orient="portrait"/>
          <w:cols w:equalWidth="0" w:num="1">
            <w:col w:w="11020"/>
          </w:cols>
          <w:pgMar w:left="440" w:top="1440" w:right="439" w:bottom="1440" w:gutter="0" w:footer="0" w:header="0"/>
        </w:sectPr>
      </w:pPr>
    </w:p>
    <w:bookmarkStart w:id="2" w:name="page3"/>
    <w:bookmarkEnd w:id="2"/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A9BC6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164465</wp:posOffset>
            </wp:positionV>
            <wp:extent cx="6995160" cy="685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68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0F4970"/>
        </w:rPr>
        <w:t>THIS IS NOT A VOTABLE BALLOT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00" w:right="402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F4970"/>
        </w:rPr>
        <w:t>This is an overview of the proposals being presented at the upcoming shareholder meeting. Please follow the instructions on the reverse side to vote these important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F4970"/>
        </w:rPr>
        <w:t>Voting Items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46355</wp:posOffset>
            </wp:positionV>
            <wp:extent cx="6995160" cy="45605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60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F4970"/>
        </w:rPr>
        <w:t>Board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F4970"/>
        </w:rPr>
        <w:t>Recommends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260" w:space="720"/>
            <w:col w:w="1060"/>
          </w:cols>
          <w:pgMar w:left="440" w:top="259" w:right="419" w:bottom="1440" w:gutter="0" w:footer="0" w:header="0"/>
        </w:sectPr>
      </w:pPr>
    </w:p>
    <w:p>
      <w:pPr>
        <w:ind w:left="580" w:hanging="436"/>
        <w:spacing w:after="0"/>
        <w:tabs>
          <w:tab w:leader="none" w:pos="580" w:val="left"/>
        </w:tabs>
        <w:numPr>
          <w:ilvl w:val="0"/>
          <w:numId w:val="6"/>
        </w:numPr>
        <w:rPr>
          <w:rFonts w:ascii="Arial" w:cs="Arial" w:eastAsia="Arial" w:hAnsi="Arial"/>
          <w:sz w:val="18"/>
          <w:szCs w:val="18"/>
          <w:color w:val="0F4970"/>
        </w:rPr>
      </w:pPr>
      <w:r>
        <w:rPr>
          <w:rFonts w:ascii="Arial" w:cs="Arial" w:eastAsia="Arial" w:hAnsi="Arial"/>
          <w:sz w:val="18"/>
          <w:szCs w:val="18"/>
          <w:color w:val="0F4970"/>
        </w:rPr>
        <w:t>Election of Directors</w:t>
      </w:r>
    </w:p>
    <w:p>
      <w:pPr>
        <w:spacing w:after="0" w:line="63" w:lineRule="exact"/>
        <w:rPr>
          <w:rFonts w:ascii="Arial" w:cs="Arial" w:eastAsia="Arial" w:hAnsi="Arial"/>
          <w:sz w:val="18"/>
          <w:szCs w:val="18"/>
          <w:color w:val="0F4970"/>
        </w:rPr>
      </w:pPr>
    </w:p>
    <w:p>
      <w:pPr>
        <w:ind w:left="580"/>
        <w:spacing w:after="0"/>
        <w:rPr>
          <w:rFonts w:ascii="Arial" w:cs="Arial" w:eastAsia="Arial" w:hAnsi="Arial"/>
          <w:sz w:val="18"/>
          <w:szCs w:val="18"/>
          <w:color w:val="0F4970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F4970"/>
        </w:rPr>
        <w:t>Nominees: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180" w:type="dxa"/>
            <w:vAlign w:val="bottom"/>
            <w:vMerge w:val="restart"/>
            <w:shd w:val="clear" w:color="auto" w:fill="F2F2FF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F4970"/>
              </w:rPr>
              <w:t>01)  Betsy S. Atkins</w:t>
            </w:r>
          </w:p>
        </w:tc>
        <w:tc>
          <w:tcPr>
            <w:tcW w:w="220" w:type="dxa"/>
            <w:vAlign w:val="bottom"/>
            <w:shd w:val="clear" w:color="auto" w:fill="F2F2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  <w:shd w:val="clear" w:color="auto" w:fill="F2F2FF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F4970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F2F2F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180" w:type="dxa"/>
            <w:vAlign w:val="bottom"/>
            <w:vMerge w:val="continue"/>
            <w:shd w:val="clear" w:color="auto" w:fill="F2F2F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2F2F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F2F2F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F2F2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180" w:type="dxa"/>
            <w:vAlign w:val="bottom"/>
            <w:shd w:val="clear" w:color="auto" w:fill="F2F2FF"/>
          </w:tcPr>
          <w:p>
            <w:pPr>
              <w:ind w:left="12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F4970"/>
              </w:rPr>
              <w:t>02)  Paul Liu</w:t>
            </w:r>
          </w:p>
        </w:tc>
        <w:tc>
          <w:tcPr>
            <w:tcW w:w="220" w:type="dxa"/>
            <w:vAlign w:val="bottom"/>
            <w:shd w:val="clear" w:color="auto" w:fill="F2F2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2F2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  <w:tcBorders>
              <w:bottom w:val="single" w:sz="8" w:color="0F497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F4970"/>
            </w:tcBorders>
            <w:shd w:val="clear" w:color="auto" w:fill="F2F2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180" w:type="dxa"/>
            <w:vAlign w:val="bottom"/>
            <w:tcBorders>
              <w:bottom w:val="single" w:sz="8" w:color="0F4970"/>
            </w:tcBorders>
            <w:shd w:val="clear" w:color="auto" w:fill="F2F2FF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F4970"/>
              </w:rPr>
              <w:t>03)  Darnell O. Strom</w:t>
            </w:r>
          </w:p>
        </w:tc>
        <w:tc>
          <w:tcPr>
            <w:tcW w:w="220" w:type="dxa"/>
            <w:vAlign w:val="bottom"/>
            <w:tcBorders>
              <w:bottom w:val="single" w:sz="8" w:color="0F4970"/>
            </w:tcBorders>
            <w:shd w:val="clear" w:color="auto" w:fill="F2F2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F4970"/>
            </w:tcBorders>
            <w:shd w:val="clear" w:color="auto" w:fill="F2F2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tcBorders>
              <w:bottom w:val="single" w:sz="8" w:color="0F497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F4970"/>
            </w:tcBorders>
            <w:shd w:val="clear" w:color="auto" w:fill="F2F2FF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F4970"/>
              </w:rPr>
              <w:t>2.</w:t>
            </w:r>
          </w:p>
        </w:tc>
        <w:tc>
          <w:tcPr>
            <w:tcW w:w="9180" w:type="dxa"/>
            <w:vAlign w:val="bottom"/>
            <w:tcBorders>
              <w:bottom w:val="single" w:sz="8" w:color="0F4970"/>
            </w:tcBorders>
            <w:shd w:val="clear" w:color="auto" w:fill="F2F2FF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F4970"/>
              </w:rPr>
              <w:t>To ratify the appointment of Ernst &amp; Young LLP as our independent registered public accounting firm for 2024.</w:t>
            </w:r>
          </w:p>
        </w:tc>
        <w:tc>
          <w:tcPr>
            <w:tcW w:w="220" w:type="dxa"/>
            <w:vAlign w:val="bottom"/>
            <w:tcBorders>
              <w:bottom w:val="single" w:sz="8" w:color="0F4970"/>
            </w:tcBorders>
            <w:shd w:val="clear" w:color="auto" w:fill="F2F2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F4970"/>
            </w:tcBorders>
            <w:shd w:val="clear" w:color="auto" w:fill="F2F2FF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F4970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F2F2FF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F4970"/>
              </w:rPr>
              <w:t>3.</w:t>
            </w:r>
          </w:p>
        </w:tc>
        <w:tc>
          <w:tcPr>
            <w:tcW w:w="9180" w:type="dxa"/>
            <w:vAlign w:val="bottom"/>
            <w:shd w:val="clear" w:color="auto" w:fill="F2F2FF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F4970"/>
              </w:rPr>
              <w:t>To approve, on a non-binding advisory basis, the compensation of our named executive officers as described in</w:t>
            </w:r>
          </w:p>
        </w:tc>
        <w:tc>
          <w:tcPr>
            <w:tcW w:w="220" w:type="dxa"/>
            <w:vAlign w:val="bottom"/>
            <w:shd w:val="clear" w:color="auto" w:fill="F2F2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  <w:shd w:val="clear" w:color="auto" w:fill="F2F2FF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F4970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F2F2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180" w:type="dxa"/>
            <w:vAlign w:val="bottom"/>
            <w:vMerge w:val="restart"/>
            <w:shd w:val="clear" w:color="auto" w:fill="F2F2FF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F4970"/>
              </w:rPr>
              <w:t>the proxy statement.</w:t>
            </w:r>
          </w:p>
        </w:tc>
        <w:tc>
          <w:tcPr>
            <w:tcW w:w="220" w:type="dxa"/>
            <w:vAlign w:val="bottom"/>
            <w:shd w:val="clear" w:color="auto" w:fill="F2F2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F2F2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  <w:tcBorders>
              <w:bottom w:val="single" w:sz="8" w:color="0F497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F4970"/>
            </w:tcBorders>
            <w:shd w:val="clear" w:color="auto" w:fill="F2F2FF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180" w:type="dxa"/>
            <w:vAlign w:val="bottom"/>
            <w:tcBorders>
              <w:bottom w:val="single" w:sz="8" w:color="0F4970"/>
            </w:tcBorders>
            <w:vMerge w:val="continue"/>
            <w:shd w:val="clear" w:color="auto" w:fill="F2F2FF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F4970"/>
            </w:tcBorders>
            <w:shd w:val="clear" w:color="auto" w:fill="F2F2FF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F4970"/>
            </w:tcBorders>
            <w:shd w:val="clear" w:color="auto" w:fill="F2F2FF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F2F2FF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F4970"/>
              </w:rPr>
              <w:t>4.</w:t>
            </w:r>
          </w:p>
        </w:tc>
        <w:tc>
          <w:tcPr>
            <w:tcW w:w="9180" w:type="dxa"/>
            <w:vAlign w:val="bottom"/>
            <w:shd w:val="clear" w:color="auto" w:fill="F2F2FF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F4970"/>
              </w:rPr>
              <w:t>To approve, an amendment to our 2014 Omnibus Incentive Plan to increase the authorized shares by</w:t>
            </w:r>
          </w:p>
        </w:tc>
        <w:tc>
          <w:tcPr>
            <w:tcW w:w="220" w:type="dxa"/>
            <w:vAlign w:val="bottom"/>
            <w:shd w:val="clear" w:color="auto" w:fill="F2F2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  <w:shd w:val="clear" w:color="auto" w:fill="F2F2FF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F4970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F2F2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180" w:type="dxa"/>
            <w:vAlign w:val="bottom"/>
            <w:vMerge w:val="restart"/>
            <w:shd w:val="clear" w:color="auto" w:fill="F2F2FF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F4970"/>
              </w:rPr>
              <w:t>2,000,000 shares.</w:t>
            </w:r>
          </w:p>
        </w:tc>
        <w:tc>
          <w:tcPr>
            <w:tcW w:w="220" w:type="dxa"/>
            <w:vAlign w:val="bottom"/>
            <w:shd w:val="clear" w:color="auto" w:fill="F2F2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F2F2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F2F2FF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180" w:type="dxa"/>
            <w:vAlign w:val="bottom"/>
            <w:vMerge w:val="continue"/>
            <w:shd w:val="clear" w:color="auto" w:fill="F2F2FF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2F2FF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2F2FF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40" w:right="2140"/>
        <w:spacing w:after="0" w:line="27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F4970"/>
        </w:rPr>
        <w:t xml:space="preserve">NOTE: </w:t>
      </w:r>
      <w:r>
        <w:rPr>
          <w:rFonts w:ascii="Arial" w:cs="Arial" w:eastAsia="Arial" w:hAnsi="Arial"/>
          <w:sz w:val="18"/>
          <w:szCs w:val="18"/>
          <w:color w:val="0F4970"/>
        </w:rPr>
        <w:t>To consider and transact such other business as may properly come before the Annual Meeting or any</w:t>
      </w:r>
      <w:r>
        <w:rPr>
          <w:rFonts w:ascii="Arial" w:cs="Arial" w:eastAsia="Arial" w:hAnsi="Arial"/>
          <w:sz w:val="18"/>
          <w:szCs w:val="18"/>
          <w:b w:val="1"/>
          <w:bCs w:val="1"/>
          <w:color w:val="0F4970"/>
        </w:rPr>
        <w:t xml:space="preserve"> </w:t>
      </w:r>
      <w:r>
        <w:rPr>
          <w:rFonts w:ascii="Arial" w:cs="Arial" w:eastAsia="Arial" w:hAnsi="Arial"/>
          <w:sz w:val="18"/>
          <w:szCs w:val="18"/>
          <w:color w:val="0F4970"/>
        </w:rPr>
        <w:t>adjournment or postponement thereof.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2715260</wp:posOffset>
            </wp:positionV>
            <wp:extent cx="6995160" cy="20574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20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FFFFFF"/>
        </w:rPr>
        <w:t>Prefer to receive an email instead? While voting on www.ProxyVote.com, be sure to click “Delivery Settings”.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left="4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50707"/>
        </w:rPr>
        <w:t>V33262-P05197</w:t>
      </w:r>
    </w:p>
    <w:sectPr>
      <w:pgSz w:w="11900" w:h="16838" w:orient="portrait"/>
      <w:cols w:equalWidth="0" w:num="1">
        <w:col w:w="11040"/>
      </w:cols>
      <w:pgMar w:left="440" w:top="259" w:right="4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2024-03-20T15:18:14Z</dcterms:created>
  <dcterms:modified xsi:type="dcterms:W3CDTF">2024-03-20T15:18:14Z</dcterms:modified>
</cp:coreProperties>
</file>