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174625</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59690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June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81280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Nevada</w:t>
            </w:r>
          </w:p>
        </w:tc>
        <w:tc>
          <w:tcPr>
            <w:tcW w:w="3720" w:type="dxa"/>
            <w:vAlign w:val="bottom"/>
            <w:gridSpan w:val="3"/>
          </w:tcPr>
          <w:p>
            <w:pPr>
              <w:ind w:left="1780"/>
              <w:spacing w:after="0"/>
              <w:rPr>
                <w:sz w:val="20"/>
                <w:szCs w:val="20"/>
                <w:color w:val="auto"/>
              </w:rPr>
            </w:pPr>
            <w:r>
              <w:rPr>
                <w:rFonts w:ascii="Arial" w:cs="Arial" w:eastAsia="Arial" w:hAnsi="Arial"/>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46-0484987</w:t>
            </w:r>
          </w:p>
        </w:tc>
        <w:tc>
          <w:tcPr>
            <w:tcW w:w="920" w:type="dxa"/>
            <w:vAlign w:val="bottom"/>
          </w:tcPr>
          <w:p>
            <w:pPr>
              <w:spacing w:after="0"/>
              <w:rPr>
                <w:sz w:val="19"/>
                <w:szCs w:val="19"/>
                <w:color w:val="auto"/>
              </w:rPr>
            </w:pPr>
          </w:p>
        </w:tc>
      </w:tr>
      <w:tr>
        <w:trPr>
          <w:trHeight w:val="141"/>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1" w:lineRule="exact"/>
              <w:rPr>
                <w:sz w:val="20"/>
                <w:szCs w:val="20"/>
                <w:color w:val="auto"/>
              </w:rPr>
            </w:pPr>
            <w:r>
              <w:rPr>
                <w:rFonts w:ascii="Arial" w:cs="Arial" w:eastAsia="Arial" w:hAnsi="Arial"/>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w w:val="94"/>
              </w:rPr>
              <w:t>(I.R.S. Employer</w:t>
            </w:r>
          </w:p>
        </w:tc>
      </w:tr>
      <w:tr>
        <w:trPr>
          <w:trHeight w:val="179"/>
        </w:trPr>
        <w:tc>
          <w:tcPr>
            <w:tcW w:w="860" w:type="dxa"/>
            <w:vAlign w:val="bottom"/>
          </w:tcPr>
          <w:p>
            <w:pPr>
              <w:spacing w:after="0"/>
              <w:rPr>
                <w:sz w:val="15"/>
                <w:szCs w:val="15"/>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of incorporation)</w:t>
            </w:r>
          </w:p>
        </w:tc>
        <w:tc>
          <w:tcPr>
            <w:tcW w:w="520" w:type="dxa"/>
            <w:vAlign w:val="bottom"/>
          </w:tcPr>
          <w:p>
            <w:pPr>
              <w:spacing w:after="0"/>
              <w:rPr>
                <w:sz w:val="15"/>
                <w:szCs w:val="15"/>
                <w:color w:val="auto"/>
              </w:rPr>
            </w:pPr>
          </w:p>
        </w:tc>
        <w:tc>
          <w:tcPr>
            <w:tcW w:w="3200" w:type="dxa"/>
            <w:vAlign w:val="bottom"/>
            <w:gridSpan w:val="2"/>
          </w:tcPr>
          <w:p>
            <w:pPr>
              <w:ind w:left="1240"/>
              <w:spacing w:after="0"/>
              <w:rPr>
                <w:sz w:val="20"/>
                <w:szCs w:val="20"/>
                <w:color w:val="auto"/>
              </w:rPr>
            </w:pPr>
            <w:r>
              <w:rPr>
                <w:rFonts w:ascii="Arial" w:cs="Arial" w:eastAsia="Arial" w:hAnsi="Arial"/>
                <w:sz w:val="14"/>
                <w:szCs w:val="14"/>
                <w:b w:val="1"/>
                <w:bCs w:val="1"/>
                <w:color w:val="auto"/>
              </w:rPr>
              <w:t>File Number)</w:t>
            </w: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Identification No.)</w:t>
            </w:r>
          </w:p>
        </w:tc>
      </w:tr>
      <w:tr>
        <w:trPr>
          <w:trHeight w:val="224"/>
        </w:trPr>
        <w:tc>
          <w:tcPr>
            <w:tcW w:w="3340" w:type="dxa"/>
            <w:vAlign w:val="bottom"/>
            <w:gridSpan w:val="3"/>
          </w:tcPr>
          <w:p>
            <w:pPr>
              <w:jc w:val="center"/>
              <w:ind w:left="177"/>
              <w:spacing w:after="0"/>
              <w:rPr>
                <w:sz w:val="20"/>
                <w:szCs w:val="20"/>
                <w:color w:val="auto"/>
              </w:rPr>
            </w:pPr>
            <w:r>
              <w:rPr>
                <w:rFonts w:ascii="Arial" w:cs="Arial" w:eastAsia="Arial" w:hAnsi="Arial"/>
                <w:sz w:val="18"/>
                <w:szCs w:val="18"/>
                <w:b w:val="1"/>
                <w:bCs w:val="1"/>
                <w:color w:val="auto"/>
                <w:w w:val="8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89109</w:t>
            </w:r>
          </w:p>
        </w:tc>
        <w:tc>
          <w:tcPr>
            <w:tcW w:w="920" w:type="dxa"/>
            <w:vAlign w:val="bottom"/>
          </w:tcPr>
          <w:p>
            <w:pPr>
              <w:spacing w:after="0"/>
              <w:rPr>
                <w:sz w:val="19"/>
                <w:szCs w:val="19"/>
                <w:color w:val="auto"/>
              </w:rPr>
            </w:pPr>
          </w:p>
        </w:tc>
      </w:tr>
      <w:tr>
        <w:trPr>
          <w:trHeight w:val="183"/>
        </w:trPr>
        <w:tc>
          <w:tcPr>
            <w:tcW w:w="334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(Zip Code)</w:t>
            </w:r>
          </w:p>
        </w:tc>
      </w:tr>
      <w:tr>
        <w:trPr>
          <w:trHeight w:val="659"/>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Arial" w:cs="Arial" w:eastAsia="Arial" w:hAnsi="Arial"/>
                <w:sz w:val="18"/>
                <w:szCs w:val="18"/>
                <w:b w:val="1"/>
                <w:bCs w:val="1"/>
                <w:color w:val="auto"/>
                <w:w w:val="89"/>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380" w:type="dxa"/>
            <w:vAlign w:val="bottom"/>
            <w:gridSpan w:val="5"/>
          </w:tcPr>
          <w:p>
            <w:pPr>
              <w:jc w:val="center"/>
              <w:ind w:right="386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96"/>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Arial" w:cs="Arial" w:eastAsia="Arial" w:hAnsi="Arial"/>
                <w:sz w:val="18"/>
                <w:szCs w:val="18"/>
                <w:b w:val="1"/>
                <w:bCs w:val="1"/>
                <w:color w:val="auto"/>
                <w:w w:val="88"/>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00" w:type="dxa"/>
            <w:vAlign w:val="bottom"/>
            <w:gridSpan w:val="6"/>
          </w:tcPr>
          <w:p>
            <w:pPr>
              <w:jc w:val="center"/>
              <w:ind w:right="3340"/>
              <w:spacing w:after="0"/>
              <w:rPr>
                <w:sz w:val="20"/>
                <w:szCs w:val="20"/>
                <w:color w:val="auto"/>
              </w:rPr>
            </w:pPr>
            <w:r>
              <w:rPr>
                <w:rFonts w:ascii="Arial" w:cs="Arial" w:eastAsia="Arial" w:hAnsi="Arial"/>
                <w:sz w:val="14"/>
                <w:szCs w:val="14"/>
                <w:b w:val="1"/>
                <w:bCs w:val="1"/>
                <w:color w:val="auto"/>
                <w:w w:val="90"/>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8"/>
              </w:rPr>
              <w:t>Trading Symbol(s)</w:t>
            </w:r>
          </w:p>
        </w:tc>
        <w:tc>
          <w:tcPr>
            <w:tcW w:w="41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Arial" w:cs="Arial" w:eastAsia="Arial" w:hAnsi="Arial"/>
                <w:sz w:val="18"/>
                <w:szCs w:val="18"/>
                <w:color w:val="auto"/>
                <w:w w:val="98"/>
              </w:rPr>
              <w:t>WYNN</w:t>
            </w:r>
          </w:p>
        </w:tc>
        <w:tc>
          <w:tcPr>
            <w:tcW w:w="41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bl>
    <w:p>
      <w:pPr>
        <w:spacing w:after="0" w:line="33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677545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07"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On June 24, 2021, Austerlitz Acquisition Corporation I, a Cayman Islands exempted company (“Austerlitz I”), filed a preliminary proxy statement/registration statement on Form S-4 with the Securities and Exchange Commission (“SEC”) related to the previously announced business combination between Austerlitz I and Wynn Interactive Ltd., an exempted company limited by shares incorporated in Bermuda and indirect, majority owned subsidiary of Wynn Resorts, Limited. The preliminary proxy statement/registration statement on Form S-4 is available on Austerlitz I’s SEC’s EDGAR page at www.sec.gov/edgar.</w:t>
      </w:r>
    </w:p>
    <w:p>
      <w:pPr>
        <w:spacing w:after="0" w:line="22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information in this Current Report on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1561465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Dated: June 24, 2021</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24765</wp:posOffset>
            </wp:positionV>
            <wp:extent cx="2301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6240" w:space="720"/>
            <w:col w:w="600" w:space="720"/>
            <w:col w:w="2960"/>
          </w:cols>
          <w:pgMar w:left="320" w:top="871" w:right="339" w:bottom="1440" w:gutter="0" w:footer="0" w:header="0"/>
          <w:type w:val="continuous"/>
        </w:sectPr>
      </w:pPr>
    </w:p>
    <w:p>
      <w:pPr>
        <w:ind w:left="7080"/>
        <w:spacing w:after="0"/>
        <w:rPr>
          <w:sz w:val="20"/>
          <w:szCs w:val="20"/>
          <w:color w:val="auto"/>
        </w:rPr>
      </w:pPr>
      <w:r>
        <w:rPr>
          <w:rFonts w:ascii="Arial" w:cs="Arial" w:eastAsia="Arial" w:hAnsi="Arial"/>
          <w:sz w:val="18"/>
          <w:szCs w:val="18"/>
          <w:color w:val="auto"/>
        </w:rPr>
        <w:t>Craig S. Billings</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20" w:top="87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2021-06-24T16:21:34Z</dcterms:created>
  <dcterms:modified xsi:type="dcterms:W3CDTF">2021-06-24T16:21:34Z</dcterms:modified>
</cp:coreProperties>
</file>