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1523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15239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MADDOX MATT</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WYNN RESORTS, LIMITED</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3131 LAS VEGAS BOULEVARD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WYNN RESORTS LTD</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WYNN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9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11/19/2010</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06"/>
        <w:spacing w:after="0"/>
        <w:rPr>
          <w:sz w:val="20"/>
          <w:szCs w:val="20"/>
          <w:color w:val="auto"/>
        </w:rPr>
      </w:pPr>
      <w:r>
        <w:rPr>
          <w:rFonts w:ascii="Arial" w:cs="Arial" w:eastAsia="Arial" w:hAnsi="Arial"/>
          <w:sz w:val="17"/>
          <w:szCs w:val="17"/>
          <w:color w:val="0000FF"/>
        </w:rPr>
        <w:t>CFO, Treasurer</w:t>
      </w:r>
    </w:p>
    <w:p>
      <w:pPr>
        <w:spacing w:after="0" w:line="407"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820" w:type="dxa"/>
            <w:vAlign w:val="bottom"/>
            <w:gridSpan w:val="7"/>
          </w:tcPr>
          <w:p>
            <w:pPr>
              <w:jc w:val="center"/>
              <w:ind w:right="36"/>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gridSpan w:val="3"/>
          </w:tcPr>
          <w:p>
            <w:pPr>
              <w:ind w:left="320"/>
              <w:spacing w:after="0"/>
              <w:rPr>
                <w:sz w:val="20"/>
                <w:szCs w:val="20"/>
                <w:color w:val="auto"/>
              </w:rPr>
            </w:pPr>
            <w:r>
              <w:rPr>
                <w:rFonts w:ascii="Arial" w:cs="Arial" w:eastAsia="Arial" w:hAnsi="Arial"/>
                <w:sz w:val="13"/>
                <w:szCs w:val="13"/>
                <w:color w:val="auto"/>
              </w:rPr>
              <w:t>Line)</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LAS VEGAS</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NV</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89109</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3"/>
          </w:tcPr>
          <w:p>
            <w:pPr>
              <w:spacing w:after="0"/>
              <w:rPr>
                <w:sz w:val="11"/>
                <w:szCs w:val="11"/>
                <w:color w:val="auto"/>
              </w:rPr>
            </w:pPr>
          </w:p>
        </w:tc>
        <w:tc>
          <w:tcPr>
            <w:tcW w:w="2680" w:type="dxa"/>
            <w:vAlign w:val="bottom"/>
            <w:tcBorders>
              <w:bottom w:val="single" w:sz="8" w:color="2C2C2C"/>
            </w:tcBorders>
            <w:gridSpan w:val="6"/>
          </w:tcPr>
          <w:p>
            <w:pPr>
              <w:spacing w:after="0"/>
              <w:rPr>
                <w:sz w:val="11"/>
                <w:szCs w:val="11"/>
                <w:color w:val="auto"/>
              </w:rPr>
            </w:pPr>
          </w:p>
        </w:tc>
        <w:tc>
          <w:tcPr>
            <w:tcW w:w="7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4"/>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80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w w:val="99"/>
              </w:rPr>
              <w:t>Disposed Of (D) (Instr. 3, 4 and</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64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34"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4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00" w:type="dxa"/>
            <w:vAlign w:val="bottom"/>
            <w:gridSpan w:val="5"/>
          </w:tcPr>
          <w:p>
            <w:pPr>
              <w:ind w:left="60"/>
              <w:spacing w:after="0"/>
              <w:rPr>
                <w:sz w:val="20"/>
                <w:szCs w:val="20"/>
                <w:color w:val="auto"/>
              </w:rPr>
            </w:pPr>
            <w:r>
              <w:rPr>
                <w:rFonts w:ascii="Arial" w:cs="Arial" w:eastAsia="Arial" w:hAnsi="Arial"/>
                <w:sz w:val="17"/>
                <w:szCs w:val="17"/>
                <w:color w:val="0000FF"/>
              </w:rPr>
              <w:t>Common Stock, par value $0.01</w:t>
            </w:r>
          </w:p>
        </w:tc>
        <w:tc>
          <w:tcPr>
            <w:tcW w:w="1940" w:type="dxa"/>
            <w:vAlign w:val="bottom"/>
            <w:gridSpan w:val="3"/>
          </w:tcPr>
          <w:p>
            <w:pPr>
              <w:ind w:left="920"/>
              <w:spacing w:after="0"/>
              <w:rPr>
                <w:sz w:val="20"/>
                <w:szCs w:val="20"/>
                <w:color w:val="auto"/>
              </w:rPr>
            </w:pPr>
            <w:r>
              <w:rPr>
                <w:rFonts w:ascii="Arial" w:cs="Arial" w:eastAsia="Arial" w:hAnsi="Arial"/>
                <w:sz w:val="17"/>
                <w:szCs w:val="17"/>
                <w:color w:val="0000FF"/>
              </w:rPr>
              <w:t>11/19/2010</w:t>
            </w: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ind w:left="180"/>
              <w:spacing w:after="0"/>
              <w:rPr>
                <w:sz w:val="20"/>
                <w:szCs w:val="20"/>
                <w:color w:val="auto"/>
              </w:rPr>
            </w:pPr>
            <w:r>
              <w:rPr>
                <w:rFonts w:ascii="Arial" w:cs="Arial" w:eastAsia="Arial" w:hAnsi="Arial"/>
                <w:sz w:val="13"/>
                <w:szCs w:val="13"/>
                <w:color w:val="0000FF"/>
              </w:rPr>
              <w:t>M</w:t>
            </w:r>
          </w:p>
        </w:tc>
        <w:tc>
          <w:tcPr>
            <w:tcW w:w="160" w:type="dxa"/>
            <w:vAlign w:val="bottom"/>
          </w:tcPr>
          <w:p>
            <w:pPr>
              <w:spacing w:after="0"/>
              <w:rPr>
                <w:sz w:val="23"/>
                <w:szCs w:val="23"/>
                <w:color w:val="auto"/>
              </w:rPr>
            </w:pPr>
          </w:p>
        </w:tc>
        <w:tc>
          <w:tcPr>
            <w:tcW w:w="640" w:type="dxa"/>
            <w:vAlign w:val="bottom"/>
          </w:tcPr>
          <w:p>
            <w:pPr>
              <w:ind w:left="160"/>
              <w:spacing w:after="0"/>
              <w:rPr>
                <w:sz w:val="20"/>
                <w:szCs w:val="20"/>
                <w:color w:val="auto"/>
              </w:rPr>
            </w:pPr>
            <w:r>
              <w:rPr>
                <w:rFonts w:ascii="Arial" w:cs="Arial" w:eastAsia="Arial" w:hAnsi="Arial"/>
                <w:sz w:val="17"/>
                <w:szCs w:val="17"/>
                <w:color w:val="0000FF"/>
                <w:w w:val="88"/>
              </w:rPr>
              <w:t>17,000</w:t>
            </w:r>
          </w:p>
        </w:tc>
        <w:tc>
          <w:tcPr>
            <w:tcW w:w="640" w:type="dxa"/>
            <w:vAlign w:val="bottom"/>
          </w:tcPr>
          <w:p>
            <w:pPr>
              <w:ind w:left="360"/>
              <w:spacing w:after="0"/>
              <w:rPr>
                <w:sz w:val="20"/>
                <w:szCs w:val="20"/>
                <w:color w:val="auto"/>
              </w:rPr>
            </w:pPr>
            <w:r>
              <w:rPr>
                <w:rFonts w:ascii="Arial" w:cs="Arial" w:eastAsia="Arial" w:hAnsi="Arial"/>
                <w:sz w:val="17"/>
                <w:szCs w:val="17"/>
                <w:color w:val="0000FF"/>
              </w:rPr>
              <w:t>A</w:t>
            </w:r>
          </w:p>
        </w:tc>
        <w:tc>
          <w:tcPr>
            <w:tcW w:w="720" w:type="dxa"/>
            <w:vAlign w:val="bottom"/>
            <w:gridSpan w:val="3"/>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51.08</w:t>
            </w:r>
          </w:p>
        </w:tc>
        <w:tc>
          <w:tcPr>
            <w:tcW w:w="1240" w:type="dxa"/>
            <w:vAlign w:val="bottom"/>
            <w:gridSpan w:val="2"/>
          </w:tcPr>
          <w:p>
            <w:pPr>
              <w:ind w:left="360"/>
              <w:spacing w:after="0"/>
              <w:rPr>
                <w:sz w:val="20"/>
                <w:szCs w:val="20"/>
                <w:color w:val="auto"/>
              </w:rPr>
            </w:pPr>
            <w:r>
              <w:rPr>
                <w:rFonts w:ascii="Arial" w:cs="Arial" w:eastAsia="Arial" w:hAnsi="Arial"/>
                <w:sz w:val="17"/>
                <w:szCs w:val="17"/>
                <w:color w:val="0000FF"/>
              </w:rPr>
              <w:t>97,000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5"/>
          </w:tcPr>
          <w:p>
            <w:pPr>
              <w:spacing w:after="0"/>
              <w:rPr>
                <w:sz w:val="8"/>
                <w:szCs w:val="8"/>
                <w:color w:val="auto"/>
              </w:rPr>
            </w:pPr>
          </w:p>
        </w:tc>
        <w:tc>
          <w:tcPr>
            <w:tcW w:w="2680" w:type="dxa"/>
            <w:vAlign w:val="bottom"/>
            <w:tcBorders>
              <w:bottom w:val="single" w:sz="8" w:color="2C2C2C"/>
            </w:tcBorders>
            <w:gridSpan w:val="6"/>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jc w:val="center"/>
              <w:ind w:right="96"/>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40" w:type="dxa"/>
            <w:vAlign w:val="bottom"/>
            <w:gridSpan w:val="10"/>
          </w:tcPr>
          <w:p>
            <w:pPr>
              <w:jc w:val="center"/>
              <w:ind w:left="59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2"/>
          </w:tcPr>
          <w:p>
            <w:pPr>
              <w:spacing w:after="0"/>
              <w:rPr>
                <w:sz w:val="20"/>
                <w:szCs w:val="20"/>
                <w:color w:val="auto"/>
              </w:rPr>
            </w:pPr>
            <w:r>
              <w:rPr>
                <w:rFonts w:ascii="Arial" w:cs="Arial" w:eastAsia="Arial" w:hAnsi="Arial"/>
                <w:sz w:val="12"/>
                <w:szCs w:val="12"/>
                <w:b w:val="1"/>
                <w:bCs w:val="1"/>
                <w:color w:val="auto"/>
              </w:rPr>
              <w:t>7. Title and Amount</w:t>
            </w:r>
          </w:p>
        </w:tc>
        <w:tc>
          <w:tcPr>
            <w:tcW w:w="4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rPr>
                <w:sz w:val="11"/>
                <w:szCs w:val="11"/>
                <w:color w:val="auto"/>
              </w:rPr>
            </w:pPr>
          </w:p>
        </w:tc>
        <w:tc>
          <w:tcPr>
            <w:tcW w:w="11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 Securities</w:t>
            </w:r>
          </w:p>
        </w:tc>
        <w:tc>
          <w:tcPr>
            <w:tcW w:w="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w w:val="98"/>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8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2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Options</w:t>
            </w: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51.08</w:t>
            </w:r>
          </w:p>
        </w:tc>
        <w:tc>
          <w:tcPr>
            <w:tcW w:w="140" w:type="dxa"/>
            <w:vAlign w:val="bottom"/>
          </w:tcPr>
          <w:p>
            <w:pPr>
              <w:spacing w:after="0"/>
              <w:rPr>
                <w:sz w:val="12"/>
                <w:szCs w:val="12"/>
                <w:color w:val="auto"/>
              </w:rPr>
            </w:pPr>
          </w:p>
        </w:tc>
        <w:tc>
          <w:tcPr>
            <w:tcW w:w="1080" w:type="dxa"/>
            <w:vAlign w:val="bottom"/>
            <w:vMerge w:val="restart"/>
          </w:tcPr>
          <w:p>
            <w:pPr>
              <w:ind w:left="280"/>
              <w:spacing w:after="0"/>
              <w:rPr>
                <w:sz w:val="20"/>
                <w:szCs w:val="20"/>
                <w:color w:val="auto"/>
              </w:rPr>
            </w:pPr>
            <w:r>
              <w:rPr>
                <w:rFonts w:ascii="Arial" w:cs="Arial" w:eastAsia="Arial" w:hAnsi="Arial"/>
                <w:sz w:val="13"/>
                <w:szCs w:val="13"/>
                <w:color w:val="0000FF"/>
              </w:rPr>
              <w:t>11/19/2010</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restart"/>
          </w:tcPr>
          <w:p>
            <w:pPr>
              <w:ind w:left="40"/>
              <w:spacing w:after="0"/>
              <w:rPr>
                <w:sz w:val="20"/>
                <w:szCs w:val="20"/>
                <w:color w:val="auto"/>
              </w:rPr>
            </w:pPr>
            <w:r>
              <w:rPr>
                <w:rFonts w:ascii="Arial" w:cs="Arial" w:eastAsia="Arial" w:hAnsi="Arial"/>
                <w:sz w:val="13"/>
                <w:szCs w:val="13"/>
                <w:color w:val="0000FF"/>
              </w:rPr>
              <w:t>M</w:t>
            </w:r>
          </w:p>
        </w:tc>
        <w:tc>
          <w:tcPr>
            <w:tcW w:w="940" w:type="dxa"/>
            <w:vAlign w:val="bottom"/>
            <w:vMerge w:val="restart"/>
          </w:tcPr>
          <w:p>
            <w:pPr>
              <w:ind w:left="460"/>
              <w:spacing w:after="0"/>
              <w:rPr>
                <w:sz w:val="20"/>
                <w:szCs w:val="20"/>
                <w:color w:val="auto"/>
              </w:rPr>
            </w:pPr>
            <w:r>
              <w:rPr>
                <w:rFonts w:ascii="Arial" w:cs="Arial" w:eastAsia="Arial" w:hAnsi="Arial"/>
                <w:sz w:val="13"/>
                <w:szCs w:val="13"/>
                <w:color w:val="0000FF"/>
              </w:rPr>
              <w:t>17,000</w:t>
            </w: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800" w:type="dxa"/>
            <w:vAlign w:val="bottom"/>
            <w:gridSpan w:val="2"/>
            <w:vMerge w:val="restart"/>
          </w:tcPr>
          <w:p>
            <w:pPr>
              <w:ind w:left="60"/>
              <w:spacing w:after="0"/>
              <w:rPr>
                <w:sz w:val="20"/>
                <w:szCs w:val="20"/>
                <w:color w:val="auto"/>
              </w:rPr>
            </w:pPr>
            <w:r>
              <w:rPr>
                <w:rFonts w:ascii="Arial" w:cs="Arial" w:eastAsia="Arial" w:hAnsi="Arial"/>
                <w:sz w:val="13"/>
                <w:szCs w:val="13"/>
                <w:color w:val="0000FF"/>
              </w:rPr>
              <w:t>11/07/2015</w:t>
            </w:r>
          </w:p>
        </w:tc>
        <w:tc>
          <w:tcPr>
            <w:tcW w:w="640" w:type="dxa"/>
            <w:vAlign w:val="bottom"/>
          </w:tcPr>
          <w:p>
            <w:pPr>
              <w:ind w:left="80"/>
              <w:spacing w:after="0" w:line="148" w:lineRule="exact"/>
              <w:rPr>
                <w:sz w:val="20"/>
                <w:szCs w:val="20"/>
                <w:color w:val="auto"/>
              </w:rPr>
            </w:pPr>
            <w:r>
              <w:rPr>
                <w:rFonts w:ascii="Arial" w:cs="Arial" w:eastAsia="Arial" w:hAnsi="Arial"/>
                <w:sz w:val="13"/>
                <w:szCs w:val="13"/>
                <w:color w:val="0000FF"/>
              </w:rPr>
              <w:t>Stock,</w:t>
            </w: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17,000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restart"/>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vMerge w:val="restart"/>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(right to</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40" w:type="dxa"/>
            <w:vAlign w:val="bottom"/>
          </w:tcPr>
          <w:p>
            <w:pPr>
              <w:spacing w:after="0" w:line="148" w:lineRule="exact"/>
              <w:rPr>
                <w:sz w:val="20"/>
                <w:szCs w:val="20"/>
                <w:color w:val="auto"/>
              </w:rPr>
            </w:pPr>
            <w:r>
              <w:rPr>
                <w:rFonts w:ascii="Arial" w:cs="Arial" w:eastAsia="Arial" w:hAnsi="Arial"/>
                <w:sz w:val="13"/>
                <w:szCs w:val="13"/>
                <w:color w:val="0000FF"/>
              </w:rPr>
              <w:t>par value</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ind w:left="100"/>
              <w:spacing w:after="0"/>
              <w:rPr>
                <w:sz w:val="20"/>
                <w:szCs w:val="20"/>
                <w:color w:val="auto"/>
              </w:rPr>
            </w:pPr>
            <w:r>
              <w:rPr>
                <w:rFonts w:ascii="Arial" w:cs="Arial" w:eastAsia="Arial" w:hAnsi="Arial"/>
                <w:sz w:val="13"/>
                <w:szCs w:val="13"/>
                <w:color w:val="0000FF"/>
              </w:rPr>
              <w:t>$0.01</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Options, which are part of an original grant on November 7, 2005 of options to purchase 50,000 shares, vested with respect to 16,665 shares on November 7, 2008, vested with respect to 16,668 shares on November 7, 2009 and vested with respect to 16,667 shares on November 7, 2010.</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Kevin Tourek,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11/22/2010</w:t>
            </w:r>
          </w:p>
        </w:tc>
        <w:tc>
          <w:tcPr>
            <w:tcW w:w="0" w:type="dxa"/>
            <w:vAlign w:val="bottom"/>
          </w:tcPr>
          <w:p>
            <w:pPr>
              <w:spacing w:after="0"/>
              <w:rPr>
                <w:sz w:val="1"/>
                <w:szCs w:val="1"/>
                <w:color w:val="auto"/>
              </w:rPr>
            </w:pPr>
          </w:p>
        </w:tc>
      </w:tr>
      <w:tr>
        <w:trPr>
          <w:trHeight w:val="92"/>
        </w:trPr>
        <w:tc>
          <w:tcPr>
            <w:tcW w:w="208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7"/>
                <w:szCs w:val="17"/>
                <w:color w:val="0000FF"/>
              </w:rPr>
              <w:t>fact for Matt Maddox</w:t>
            </w:r>
          </w:p>
        </w:tc>
        <w:tc>
          <w:tcPr>
            <w:tcW w:w="22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00" w:type="dxa"/>
            <w:vAlign w:val="bottom"/>
            <w:shd w:val="clear" w:color="auto" w:fill="000000"/>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5587"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2019-12-18T01:43:45Z</dcterms:created>
  <dcterms:modified xsi:type="dcterms:W3CDTF">2019-12-18T01:43:45Z</dcterms:modified>
</cp:coreProperties>
</file>